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СКС-2022-В-ИП-7.1.13.30</w:t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</w:r>
    </w:p>
    <w:p>
      <w:pPr>
        <w:pStyle w:val="Normal"/>
        <w:jc w:val="center"/>
        <w:rPr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 канализационных сетей для подключения объекта капитального строительства к централизованной системе</w:t>
      </w:r>
      <w:r>
        <w:rPr>
          <w:rFonts w:cs="Tahoma"/>
          <w:bCs/>
          <w:color w:val="000000"/>
          <w:lang w:eastAsia="zh-CN"/>
        </w:rPr>
        <w:t xml:space="preserve"> водоотведения</w:t>
      </w:r>
      <w:bookmarkStart w:id="0" w:name="__DdeLink__784_573084864"/>
      <w:bookmarkEnd w:id="0"/>
      <w:r>
        <w:rPr>
          <w:rFonts w:cs="Tahoma"/>
          <w:color w:val="000000"/>
          <w:lang w:eastAsia="zh-CN"/>
        </w:rPr>
        <w:t xml:space="preserve">: </w:t>
      </w:r>
      <w:r>
        <w:rPr>
          <w:rFonts w:cs="Tahoma"/>
          <w:color w:val="000000"/>
        </w:rPr>
        <w:t xml:space="preserve"> </w:t>
      </w:r>
    </w:p>
    <w:p>
      <w:pPr>
        <w:pStyle w:val="Normal"/>
        <w:jc w:val="center"/>
        <w:rPr/>
      </w:pPr>
      <w:r>
        <w:rPr>
          <w:rFonts w:cs="Tahoma"/>
          <w:bCs/>
          <w:color w:val="auto"/>
          <w:lang w:eastAsia="zh-CN"/>
        </w:rPr>
        <w:t>«Канализационный выпуск 4 Дн — 160 мм»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608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ahoma"/>
                <w:bCs/>
                <w:lang w:eastAsia="zh-CN"/>
              </w:rPr>
            </w:pPr>
            <w:r>
              <w:rPr>
                <w:rFonts w:cs="Tahoma"/>
                <w:bCs/>
                <w:lang w:eastAsia="zh-CN"/>
              </w:rPr>
              <w:t xml:space="preserve">Строительство канализационных сетей для подключения объекта капитального строительства к системе водоотведения: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color w:val="auto"/>
                <w:lang w:eastAsia="zh-CN"/>
              </w:rPr>
              <w:t>Местоположение: г. Самара, Ленинский район, в границах улиц Самарская, Садовая, Вилоновская, Рабочая.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/>
            </w:pPr>
            <w:r>
              <w:rPr>
                <w:rFonts w:cs="Tahoma"/>
              </w:rPr>
              <w:t xml:space="preserve">Наружные сети водоотведения в соответствии с </w:t>
            </w:r>
            <w:r>
              <w:rPr>
                <w:rFonts w:cs="Tahoma"/>
                <w:color w:val="auto"/>
              </w:rPr>
              <w:t xml:space="preserve">проектом 010/2022 - НВК.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 проектом 010/2022 - НВК. </w:t>
            </w:r>
            <w:r>
              <w:rPr>
                <w:rFonts w:cs="Tahoma"/>
                <w:color w:val="auto"/>
              </w:rPr>
              <w:t xml:space="preserve"> и </w:t>
            </w:r>
            <w:r>
              <w:rPr>
                <w:rFonts w:cs="Tahoma"/>
              </w:rPr>
              <w:t>настоящим ТЗ.</w:t>
            </w:r>
          </w:p>
          <w:p>
            <w:pPr>
              <w:pStyle w:val="Normal"/>
              <w:jc w:val="both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 xml:space="preserve">проектом </w:t>
            </w:r>
            <w:r>
              <w:rPr/>
              <w:t>30/19 - НВК</w:t>
            </w:r>
            <w:r>
              <w:rPr>
                <w:rFonts w:cs="Tahoma"/>
                <w:color w:val="auto"/>
              </w:rPr>
              <w:t>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 010/2022 - НВК.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bookmarkStart w:id="1" w:name="__DdeLink__5320_1090950138"/>
            <w:r>
              <w:rPr/>
              <w:t>Проект</w:t>
            </w:r>
            <w:r>
              <w:rPr>
                <w:rFonts w:cs="Tahoma"/>
                <w:color w:val="auto"/>
              </w:rPr>
              <w:t xml:space="preserve"> </w:t>
            </w:r>
            <w:bookmarkEnd w:id="1"/>
            <w:r>
              <w:rPr>
                <w:rFonts w:cs="Tahoma"/>
                <w:color w:val="auto"/>
              </w:rPr>
              <w:t>010/2022 - НВК  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010/2022 - НВК. 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010/2022 - НВК.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010/2022 - НВК. 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cs="Tahoma"/>
                <w:color w:val="auto"/>
              </w:rPr>
              <w:t>33 календарных дня с</w:t>
            </w:r>
            <w:r>
              <w:rPr>
                <w:rFonts w:cs="Tahoma"/>
                <w:color w:val="auto"/>
              </w:rPr>
              <w:t xml:space="preserve">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  <w:bCs/>
        </w:rPr>
        <w:t>Приложение №2: Реестр выполненных работ.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311BE-90F2-41AB-A588-4C952B4A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LibreOffice/6.3.4.2$Windows_X86_64 LibreOffice_project/60da17e045e08f1793c57c00ba83cdfce946d0aa</Application>
  <Pages>5</Pages>
  <Words>1233</Words>
  <Characters>8931</Characters>
  <CharactersWithSpaces>10338</CharactersWithSpaces>
  <Paragraphs>140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2022-06-03T04:13:00Z</dcterms:created>
  <dc:creator>WASQ</dc:creator>
  <dc:description/>
  <dc:language>ru-RU</dc:language>
  <cp:lastModifiedBy/>
  <cp:lastPrinted>2020-04-09T12:08:00Z</cp:lastPrinted>
  <dcterms:modified xsi:type="dcterms:W3CDTF">2022-06-23T13:37:38Z</dcterms:modified>
  <cp:revision>9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